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9DAE" w14:textId="6B0380CD" w:rsidR="00210A26" w:rsidRPr="00210A26" w:rsidRDefault="0053589E" w:rsidP="004B4B44">
      <w:pPr>
        <w:pStyle w:val="NormalWeb"/>
        <w:shd w:val="clear" w:color="auto" w:fill="FFFFFF"/>
        <w:spacing w:after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Reference</w:t>
      </w:r>
      <w:r w:rsidR="00B37695" w:rsidRPr="00B37695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4B4B4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37695" w:rsidRPr="00B376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65CE">
        <w:rPr>
          <w:rFonts w:asciiTheme="minorHAnsi" w:hAnsiTheme="minorHAnsi" w:cstheme="minorHAnsi"/>
          <w:sz w:val="22"/>
          <w:szCs w:val="22"/>
        </w:rPr>
        <w:t>February 2011</w:t>
      </w:r>
      <w:r w:rsidR="00B37695" w:rsidRPr="00844137">
        <w:rPr>
          <w:rFonts w:asciiTheme="minorHAnsi" w:hAnsiTheme="minorHAnsi" w:cstheme="minorHAnsi"/>
          <w:sz w:val="22"/>
          <w:szCs w:val="22"/>
        </w:rPr>
        <w:t xml:space="preserve"> – </w:t>
      </w:r>
      <w:proofErr w:type="spellStart"/>
      <w:r w:rsidR="005F0E19">
        <w:fldChar w:fldCharType="begin"/>
      </w:r>
      <w:r w:rsidR="005F0E19">
        <w:instrText>HYPERLINK "https://impulse-dynamics.com/wp-content/uploads/2020/01/2019-Anker_et_al-2019-European_Journal_of_Heart_Failure.pdf" \t "_blank"</w:instrText>
      </w:r>
      <w:r w:rsidR="005F0E19">
        <w:fldChar w:fldCharType="separate"/>
      </w:r>
      <w:r w:rsidR="0003313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Kadish</w:t>
      </w:r>
      <w:proofErr w:type="spellEnd"/>
      <w:r w:rsidR="004B4B4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,</w:t>
      </w:r>
      <w:r w:rsidR="00B37695" w:rsidRPr="00210A2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et al: “</w:t>
      </w:r>
      <w:r w:rsidR="00033131" w:rsidRPr="0003313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A randomized controlled trial evaluating the safety and efficacy of cardiac contractility modulation in advanced heart failure</w:t>
      </w:r>
      <w:r w:rsidR="00210A26" w:rsidRPr="00210A2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,</w:t>
      </w:r>
      <w:r w:rsidR="004B4B4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"</w:t>
      </w:r>
      <w:r w:rsidR="00210A26" w:rsidRPr="00210A2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03313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American</w:t>
      </w:r>
      <w:r w:rsidR="005F0E1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  <w:r w:rsidR="0003313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Heart Journal</w:t>
      </w:r>
    </w:p>
    <w:p w14:paraId="6C08CBE9" w14:textId="1AE92DFA" w:rsidR="00210A26" w:rsidRPr="00210A26" w:rsidRDefault="00210A26" w:rsidP="00210A26">
      <w:pPr>
        <w:pStyle w:val="NormalWeb"/>
        <w:shd w:val="clear" w:color="auto" w:fill="FFFFFF"/>
        <w:spacing w:after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</w:pPr>
      <w:r w:rsidRPr="00210A2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Link to trial summary - </w:t>
      </w:r>
      <w:r w:rsidR="005365CE" w:rsidRPr="005365CE">
        <w:t>https://pubmed.ncbi.nlm.nih.gov/21315216/</w:t>
      </w:r>
    </w:p>
    <w:p w14:paraId="029B7454" w14:textId="2CA24E67" w:rsidR="00B37695" w:rsidRDefault="00B37695" w:rsidP="00210A26">
      <w:pPr>
        <w:pStyle w:val="NormalWeb"/>
        <w:shd w:val="clear" w:color="auto" w:fill="FFFFFF"/>
        <w:spacing w:after="0"/>
        <w:textAlignment w:val="baseline"/>
        <w:rPr>
          <w:b/>
          <w:bCs/>
          <w:color w:val="C00000"/>
        </w:rPr>
      </w:pPr>
      <w:r>
        <w:rPr>
          <w:b/>
          <w:bCs/>
          <w:color w:val="C00000"/>
        </w:rPr>
        <w:t>Hovering over or clicking on the reference above will cause the Abstract to appear in a popup window</w:t>
      </w:r>
    </w:p>
    <w:p w14:paraId="65D6E4F0" w14:textId="385A6360" w:rsidR="005365CE" w:rsidRDefault="005365CE" w:rsidP="005365CE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5365CE">
        <w:rPr>
          <w:rFonts w:eastAsia="Times New Roman" w:cstheme="minorHAnsi"/>
          <w:b/>
          <w:bCs/>
          <w:color w:val="000000" w:themeColor="text1"/>
        </w:rPr>
        <w:t xml:space="preserve">Background: </w:t>
      </w:r>
      <w:r w:rsidRPr="005365CE">
        <w:rPr>
          <w:rFonts w:eastAsia="Times New Roman" w:cstheme="minorHAnsi"/>
          <w:color w:val="000000" w:themeColor="text1"/>
        </w:rPr>
        <w:t>Cardiac contractility modulation (CCM) delivers nonexcitatory electrical signals to the heart during the absolute refractory period intended to improve contraction.</w:t>
      </w:r>
    </w:p>
    <w:p w14:paraId="7EA338E1" w14:textId="77777777" w:rsidR="005365CE" w:rsidRPr="005365CE" w:rsidRDefault="005365CE" w:rsidP="005365CE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04D951E8" w14:textId="279346CB" w:rsidR="00210A26" w:rsidRPr="005365CE" w:rsidRDefault="005365CE" w:rsidP="005365CE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5365CE">
        <w:rPr>
          <w:rFonts w:eastAsia="Times New Roman" w:cstheme="minorHAnsi"/>
          <w:b/>
          <w:bCs/>
          <w:color w:val="000000" w:themeColor="text1"/>
        </w:rPr>
        <w:t xml:space="preserve">Methods: </w:t>
      </w:r>
      <w:r w:rsidRPr="005365CE">
        <w:rPr>
          <w:rFonts w:eastAsia="Times New Roman" w:cstheme="minorHAnsi"/>
          <w:color w:val="000000" w:themeColor="text1"/>
        </w:rPr>
        <w:t>We tested CCM in 428 New York Heart Association class III or IV, narrow QRS heart failure patients with ejection fraction (EF) ≤35% randomized to optimal medical therapy (OMT) plus CCM (n = 215) versus OMT alone (n = 213). Efficacy was assessed by ventilatory anaerobic threshold (VAT), primary end point, peak VO2 (pVO2), and Minnesota Living with Heart Failure Questionnaire (MLWFQ) at 6 months. The primary safety end point was a test of noninferiority between groups at 12 months for the composite of all-cause mortality and hospitalizations (12.5% allowable delta).</w:t>
      </w:r>
    </w:p>
    <w:p w14:paraId="580FADD1" w14:textId="6C8BFD1F" w:rsidR="005365CE" w:rsidRPr="005365CE" w:rsidRDefault="005365CE" w:rsidP="005365CE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7AE974EF" w14:textId="22D87BAD" w:rsidR="005365CE" w:rsidRPr="005365CE" w:rsidRDefault="005365CE" w:rsidP="005365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65CE">
        <w:rPr>
          <w:rFonts w:cstheme="minorHAnsi"/>
          <w:b/>
          <w:bCs/>
        </w:rPr>
        <w:t>Results:</w:t>
      </w:r>
      <w:r w:rsidRPr="005365CE">
        <w:rPr>
          <w:rFonts w:cstheme="minorHAnsi"/>
        </w:rPr>
        <w:t xml:space="preserve"> The groups were comparable for age (58 ± 13 vs 59 ± 12 years), EF (26% ± 7% vs 26% ± 7%), pVO2 (14.7 ±</w:t>
      </w:r>
      <w:r>
        <w:rPr>
          <w:rFonts w:cstheme="minorHAnsi"/>
        </w:rPr>
        <w:t xml:space="preserve"> </w:t>
      </w:r>
      <w:r w:rsidRPr="005365CE">
        <w:rPr>
          <w:rFonts w:cstheme="minorHAnsi"/>
        </w:rPr>
        <w:t>2.9 vs 14.8 ± 3.2 mL kg</w:t>
      </w:r>
      <w:r w:rsidRPr="0036043A">
        <w:rPr>
          <w:rFonts w:eastAsia="AdvTT2936de82+22" w:cstheme="minorHAnsi"/>
          <w:vertAlign w:val="superscript"/>
        </w:rPr>
        <w:t>−</w:t>
      </w:r>
      <w:r w:rsidRPr="0036043A">
        <w:rPr>
          <w:rFonts w:cstheme="minorHAnsi"/>
          <w:vertAlign w:val="superscript"/>
        </w:rPr>
        <w:t>1</w:t>
      </w:r>
      <w:r w:rsidRPr="005365CE">
        <w:rPr>
          <w:rFonts w:cstheme="minorHAnsi"/>
        </w:rPr>
        <w:t xml:space="preserve"> min</w:t>
      </w:r>
      <w:r w:rsidRPr="0036043A">
        <w:rPr>
          <w:rFonts w:eastAsia="AdvTT2936de82+22" w:cstheme="minorHAnsi"/>
          <w:vertAlign w:val="superscript"/>
        </w:rPr>
        <w:t>−</w:t>
      </w:r>
      <w:r w:rsidRPr="0036043A">
        <w:rPr>
          <w:rFonts w:cstheme="minorHAnsi"/>
          <w:vertAlign w:val="superscript"/>
        </w:rPr>
        <w:t>1</w:t>
      </w:r>
      <w:r w:rsidRPr="005365CE">
        <w:rPr>
          <w:rFonts w:cstheme="minorHAnsi"/>
        </w:rPr>
        <w:t>), and other characteristics. While VAT did not improve at 6 months, CCM significantly</w:t>
      </w:r>
      <w:r>
        <w:rPr>
          <w:rFonts w:cstheme="minorHAnsi"/>
        </w:rPr>
        <w:t xml:space="preserve"> </w:t>
      </w:r>
      <w:r w:rsidRPr="005365CE">
        <w:rPr>
          <w:rFonts w:cstheme="minorHAnsi"/>
        </w:rPr>
        <w:t>improved pVO</w:t>
      </w:r>
      <w:r w:rsidRPr="0036043A">
        <w:rPr>
          <w:rFonts w:cstheme="minorHAnsi"/>
          <w:vertAlign w:val="subscript"/>
        </w:rPr>
        <w:t>2</w:t>
      </w:r>
      <w:r w:rsidRPr="005365CE">
        <w:rPr>
          <w:rFonts w:cstheme="minorHAnsi"/>
        </w:rPr>
        <w:t xml:space="preserve"> and MLWHFQ (by 0.65 mL kg</w:t>
      </w:r>
      <w:r w:rsidRPr="005365CE">
        <w:rPr>
          <w:rFonts w:eastAsia="AdvTT2936de82+22" w:cstheme="minorHAnsi"/>
        </w:rPr>
        <w:t>−</w:t>
      </w:r>
      <w:r w:rsidRPr="005365CE">
        <w:rPr>
          <w:rFonts w:cstheme="minorHAnsi"/>
        </w:rPr>
        <w:t>1 min</w:t>
      </w:r>
      <w:r w:rsidRPr="005365CE">
        <w:rPr>
          <w:rFonts w:eastAsia="AdvTT2936de82+22" w:cstheme="minorHAnsi"/>
        </w:rPr>
        <w:t>−</w:t>
      </w:r>
      <w:r w:rsidRPr="005365CE">
        <w:rPr>
          <w:rFonts w:cstheme="minorHAnsi"/>
        </w:rPr>
        <w:t xml:space="preserve">1 [P = .024] and </w:t>
      </w:r>
      <w:r w:rsidRPr="005365CE">
        <w:rPr>
          <w:rFonts w:eastAsia="AdvTT2936de82+22" w:cstheme="minorHAnsi"/>
        </w:rPr>
        <w:t>−</w:t>
      </w:r>
      <w:r w:rsidRPr="005365CE">
        <w:rPr>
          <w:rFonts w:cstheme="minorHAnsi"/>
        </w:rPr>
        <w:t>9.7 points [P b .0001], respectively) over OMT. Forty</w:t>
      </w:r>
      <w:r>
        <w:rPr>
          <w:rFonts w:cstheme="minorHAnsi"/>
        </w:rPr>
        <w:t xml:space="preserve">-eight </w:t>
      </w:r>
      <w:r w:rsidRPr="005365CE">
        <w:rPr>
          <w:rFonts w:cstheme="minorHAnsi"/>
        </w:rPr>
        <w:t xml:space="preserve">percent of OMT and 52% of CCM patients experienced a safety end point, which satisfied the </w:t>
      </w:r>
      <w:proofErr w:type="spellStart"/>
      <w:r w:rsidRPr="005365CE">
        <w:rPr>
          <w:rFonts w:cstheme="minorHAnsi"/>
        </w:rPr>
        <w:t>noniferiority</w:t>
      </w:r>
      <w:proofErr w:type="spellEnd"/>
      <w:r w:rsidRPr="005365CE">
        <w:rPr>
          <w:rFonts w:cstheme="minorHAnsi"/>
        </w:rPr>
        <w:t xml:space="preserve"> criterion (P =</w:t>
      </w:r>
      <w:r>
        <w:rPr>
          <w:rFonts w:cstheme="minorHAnsi"/>
        </w:rPr>
        <w:t xml:space="preserve"> </w:t>
      </w:r>
      <w:r w:rsidRPr="005365CE">
        <w:rPr>
          <w:rFonts w:cstheme="minorHAnsi"/>
        </w:rPr>
        <w:t xml:space="preserve">.03). Post hoc, hypothesis-generating analysis identified a subgroup (characterized by baseline EF </w:t>
      </w:r>
      <w:r w:rsidRPr="005365CE">
        <w:rPr>
          <w:rFonts w:eastAsia="AdvTT2936de82+22" w:cstheme="minorHAnsi"/>
        </w:rPr>
        <w:t>≥</w:t>
      </w:r>
      <w:r w:rsidRPr="005365CE">
        <w:rPr>
          <w:rFonts w:cstheme="minorHAnsi"/>
        </w:rPr>
        <w:t>25% and New York Heart</w:t>
      </w:r>
    </w:p>
    <w:p w14:paraId="517A7211" w14:textId="660D5CCF" w:rsidR="005365CE" w:rsidRDefault="005365CE" w:rsidP="005365CE">
      <w:pPr>
        <w:spacing w:after="0" w:line="240" w:lineRule="auto"/>
        <w:rPr>
          <w:rFonts w:cstheme="minorHAnsi"/>
        </w:rPr>
      </w:pPr>
      <w:r w:rsidRPr="005365CE">
        <w:rPr>
          <w:rFonts w:cstheme="minorHAnsi"/>
        </w:rPr>
        <w:t>Association class III symptoms) in which all parameters were improved by CCM.</w:t>
      </w:r>
    </w:p>
    <w:p w14:paraId="29AE5D8C" w14:textId="2147905D" w:rsidR="005365CE" w:rsidRDefault="005365CE" w:rsidP="005365CE">
      <w:pPr>
        <w:spacing w:after="0" w:line="240" w:lineRule="auto"/>
        <w:rPr>
          <w:rFonts w:cstheme="minorHAnsi"/>
        </w:rPr>
      </w:pPr>
    </w:p>
    <w:p w14:paraId="517A04B8" w14:textId="03A84EDF" w:rsidR="005365CE" w:rsidRPr="005365CE" w:rsidRDefault="005365CE" w:rsidP="005365CE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5365CE">
        <w:rPr>
          <w:rFonts w:eastAsia="Times New Roman" w:cstheme="minorHAnsi"/>
          <w:b/>
          <w:bCs/>
          <w:color w:val="000000" w:themeColor="text1"/>
        </w:rPr>
        <w:t>Conclusions:</w:t>
      </w:r>
      <w:r w:rsidRPr="005365CE">
        <w:rPr>
          <w:rFonts w:eastAsia="Times New Roman" w:cstheme="minorHAnsi"/>
          <w:color w:val="000000" w:themeColor="text1"/>
        </w:rPr>
        <w:t xml:space="preserve"> In the overall target population, CCM did not improve VAT (the primary end point) but did improve pVO2</w:t>
      </w:r>
      <w:r>
        <w:rPr>
          <w:rFonts w:eastAsia="Times New Roman" w:cstheme="minorHAnsi"/>
          <w:color w:val="000000" w:themeColor="text1"/>
        </w:rPr>
        <w:t xml:space="preserve"> </w:t>
      </w:r>
      <w:r w:rsidRPr="005365CE">
        <w:rPr>
          <w:rFonts w:eastAsia="Times New Roman" w:cstheme="minorHAnsi"/>
          <w:color w:val="000000" w:themeColor="text1"/>
        </w:rPr>
        <w:t xml:space="preserve">and MLWHFQ. Cardiac contractility modulation did not have an adverse effect on </w:t>
      </w:r>
      <w:r>
        <w:rPr>
          <w:rFonts w:eastAsia="Times New Roman" w:cstheme="minorHAnsi"/>
          <w:color w:val="000000" w:themeColor="text1"/>
        </w:rPr>
        <w:t>h</w:t>
      </w:r>
      <w:r w:rsidRPr="005365CE">
        <w:rPr>
          <w:rFonts w:eastAsia="Times New Roman" w:cstheme="minorHAnsi"/>
          <w:color w:val="000000" w:themeColor="text1"/>
        </w:rPr>
        <w:t>ospitalizations or mortality within the</w:t>
      </w:r>
      <w:r>
        <w:rPr>
          <w:rFonts w:eastAsia="Times New Roman" w:cstheme="minorHAnsi"/>
          <w:color w:val="000000" w:themeColor="text1"/>
        </w:rPr>
        <w:t xml:space="preserve"> </w:t>
      </w:r>
      <w:r w:rsidRPr="005365CE">
        <w:rPr>
          <w:rFonts w:eastAsia="Times New Roman" w:cstheme="minorHAnsi"/>
          <w:color w:val="000000" w:themeColor="text1"/>
        </w:rPr>
        <w:t>prespecified boundaries. Further study is required to clarify the role of CCM as a treatment for medically refractory heart</w:t>
      </w:r>
      <w:r>
        <w:rPr>
          <w:rFonts w:eastAsia="Times New Roman" w:cstheme="minorHAnsi"/>
          <w:color w:val="000000" w:themeColor="text1"/>
        </w:rPr>
        <w:t xml:space="preserve"> </w:t>
      </w:r>
      <w:r w:rsidRPr="005365CE">
        <w:rPr>
          <w:rFonts w:eastAsia="Times New Roman" w:cstheme="minorHAnsi"/>
          <w:color w:val="000000" w:themeColor="text1"/>
        </w:rPr>
        <w:t xml:space="preserve">failure. (Am Heart J </w:t>
      </w:r>
      <w:proofErr w:type="gramStart"/>
      <w:r w:rsidRPr="005365CE">
        <w:rPr>
          <w:rFonts w:eastAsia="Times New Roman" w:cstheme="minorHAnsi"/>
          <w:color w:val="000000" w:themeColor="text1"/>
        </w:rPr>
        <w:t>2011;161:329</w:t>
      </w:r>
      <w:proofErr w:type="gramEnd"/>
      <w:r w:rsidRPr="005365CE">
        <w:rPr>
          <w:rFonts w:eastAsia="Times New Roman" w:cstheme="minorHAnsi"/>
          <w:color w:val="000000" w:themeColor="text1"/>
        </w:rPr>
        <w:t>-337.e2.)</w:t>
      </w:r>
    </w:p>
    <w:sectPr w:rsidR="005365CE" w:rsidRPr="005365CE" w:rsidSect="00E218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2936de82+2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6"/>
    <w:rsid w:val="00033131"/>
    <w:rsid w:val="00202750"/>
    <w:rsid w:val="00210A26"/>
    <w:rsid w:val="0036043A"/>
    <w:rsid w:val="003858A0"/>
    <w:rsid w:val="003B2F86"/>
    <w:rsid w:val="004B4B44"/>
    <w:rsid w:val="004F4B91"/>
    <w:rsid w:val="0053589E"/>
    <w:rsid w:val="005365CE"/>
    <w:rsid w:val="00547BB0"/>
    <w:rsid w:val="005F0E19"/>
    <w:rsid w:val="00844137"/>
    <w:rsid w:val="00B266BC"/>
    <w:rsid w:val="00B37695"/>
    <w:rsid w:val="00B5594D"/>
    <w:rsid w:val="00C931F0"/>
    <w:rsid w:val="00C9767B"/>
    <w:rsid w:val="00DA4818"/>
    <w:rsid w:val="00DD79BD"/>
    <w:rsid w:val="00E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F99B"/>
  <w15:chartTrackingRefBased/>
  <w15:docId w15:val="{4D8454E9-B3C3-487C-8527-3BBC632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F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Richmond</dc:creator>
  <cp:keywords/>
  <dc:description/>
  <cp:lastModifiedBy>Rex Richmond</cp:lastModifiedBy>
  <cp:revision>3</cp:revision>
  <dcterms:created xsi:type="dcterms:W3CDTF">2022-06-24T17:03:00Z</dcterms:created>
  <dcterms:modified xsi:type="dcterms:W3CDTF">2022-06-24T18:00:00Z</dcterms:modified>
</cp:coreProperties>
</file>